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rPr>
          <w:rFonts w:hAnsi="Times New Roman" w:cs="Times New Roman"/>
          <w:color w:val="000000"/>
          <w:sz w:val="24"/>
          <w:szCs w:val="24"/>
        </w:rPr>
      </w:pPr>
      <w:r>
        <w:rPr>
          <w:rFonts w:hAnsi="Times New Roman" w:cs="Times New Roman"/>
          <w:color w:val="000000"/>
          <w:sz w:val="24"/>
          <w:szCs w:val="24"/>
        </w:rPr>
        <w:t> </w:t>
      </w:r>
    </w:p>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w:t>
      </w:r>
      <w:r>
        <w:br/>
      </w:r>
      <w:r>
        <w:rPr>
          <w:rFonts w:hAnsi="Times New Roman" w:cs="Times New Roman"/>
          <w:color w:val="000000"/>
          <w:sz w:val="24"/>
          <w:szCs w:val="24"/>
        </w:rPr>
        <w:t>«Центр образования № 3»</w:t>
      </w:r>
      <w:r>
        <w:br/>
      </w:r>
      <w:r>
        <w:rPr>
          <w:rFonts w:hAnsi="Times New Roman" w:cs="Times New Roman"/>
          <w:color w:val="000000"/>
          <w:sz w:val="24"/>
          <w:szCs w:val="24"/>
        </w:rPr>
        <w:t>МБОУ ЦО № 3</w:t>
      </w:r>
    </w:p>
    <w:p>
      <w:pPr>
        <w:spacing w:line="240" w:lineRule="auto"/>
        <w:jc w:val="center"/>
        <w:rPr>
          <w:rFonts w:hAnsi="Times New Roman" w:cs="Times New Roman"/>
          <w:color w:val="000000"/>
          <w:sz w:val="24"/>
          <w:szCs w:val="24"/>
        </w:rPr>
      </w:pP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gridSpan w:val="2"/>
            <w:tcMar>
              <w:top w:w="75" w:type="dxa"/>
              <w:left w:w="75" w:type="dxa"/>
              <w:bottom w:w="75" w:type="dxa"/>
              <w:right w:w="75" w:type="dxa"/>
            </w:tcMar>
            <w:vAlign w:val="top"/>
          </w:tcPr>
          <w:p>
            <w:r>
              <w:rPr>
                <w:rFonts w:hAnsi="Times New Roman" w:cs="Times New Roman"/>
                <w:b/>
                <w:bCs/>
                <w:color w:val="000000"/>
                <w:sz w:val="24"/>
                <w:szCs w:val="24"/>
              </w:rPr>
              <w:t>СОГЛАСОВАНО</w:t>
            </w:r>
          </w:p>
        </w:tc>
        <w:tc>
          <w:tcPr>
            <w:tcW w:w="0" w:type="auto"/>
            <w:gridSpan w:val="2"/>
            <w:tcMar>
              <w:top w:w="75" w:type="dxa"/>
              <w:left w:w="75" w:type="dxa"/>
              <w:bottom w:w="75" w:type="dxa"/>
              <w:right w:w="75" w:type="dxa"/>
            </w:tcMar>
            <w:vAlign w:val="top"/>
          </w:tcPr>
          <w:p>
            <w:r>
              <w:rPr>
                <w:rFonts w:hAnsi="Times New Roman" w:cs="Times New Roman"/>
                <w:b/>
                <w:bCs/>
                <w:color w:val="000000"/>
                <w:sz w:val="24"/>
                <w:szCs w:val="24"/>
              </w:rPr>
              <w:t>УТВЕРЖДАЮ</w:t>
            </w:r>
          </w:p>
        </w:tc>
      </w:tr>
      <w:tr>
        <w:trPr>
          <w:trHeight w:val="0"/>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 xml:space="preserve">Председатель </w:t>
            </w:r>
            <w:r>
              <w:rPr>
                <w:rFonts w:hAnsi="Times New Roman" w:cs="Times New Roman"/>
                <w:color w:val="000000"/>
                <w:sz w:val="24"/>
                <w:szCs w:val="24"/>
              </w:rPr>
              <w:t>профсоюза</w:t>
            </w:r>
          </w:p>
          <w:p>
            <w:pPr>
              <w:spacing w:line="240" w:lineRule="auto"/>
              <w:rPr>
                <w:rFonts w:hAnsi="Times New Roman" w:cs="Times New Roman"/>
                <w:color w:val="000000"/>
                <w:sz w:val="24"/>
                <w:szCs w:val="24"/>
              </w:rPr>
            </w:pPr>
            <w:r>
              <w:rPr>
                <w:rFonts w:hAnsi="Times New Roman" w:cs="Times New Roman"/>
                <w:color w:val="000000"/>
                <w:sz w:val="24"/>
                <w:szCs w:val="24"/>
              </w:rPr>
              <w:t>МБОУ ЦО № 3</w:t>
            </w:r>
          </w:p>
        </w:tc>
        <w:tc>
          <w:tcPr>
            <w:tcW w:w="0" w:type="auto"/>
            <w:gridSpan w:val="2"/>
            <w:tcMar>
              <w:top w:w="75" w:type="dxa"/>
              <w:left w:w="75" w:type="dxa"/>
              <w:bottom w:w="75" w:type="dxa"/>
              <w:right w:w="75" w:type="dxa"/>
            </w:tcMar>
            <w:vAlign w:val="top"/>
          </w:tcPr>
          <w:p>
            <w:r>
              <w:rPr>
                <w:rFonts w:hAnsi="Times New Roman" w:cs="Times New Roman"/>
                <w:color w:val="000000"/>
                <w:sz w:val="24"/>
                <w:szCs w:val="24"/>
              </w:rPr>
              <w:t>Директор МБОУ Школа № 3</w:t>
            </w:r>
          </w:p>
        </w:tc>
      </w:tr>
      <w:tr>
        <w:trPr>
          <w:trHeight w:val="0"/>
        </w:trPr>
        <w:tc>
          <w:tcPr>
            <w:tcW w:w="0" w:type="auto"/>
            <w:tcMar>
              <w:top w:w="75" w:type="dxa"/>
              <w:left w:w="75" w:type="dxa"/>
              <w:bottom w:w="75" w:type="dxa"/>
              <w:right w:w="75" w:type="dxa"/>
            </w:tcMar>
            <w:vAlign w:val="bottom"/>
          </w:tcPr>
          <w:p>
            <w:r>
              <w:rPr>
                <w:rFonts w:hAnsi="Times New Roman" w:cs="Times New Roman"/>
                <w:color w:val="000000"/>
                <w:sz w:val="24"/>
                <w:szCs w:val="24"/>
              </w:rPr>
              <w:t>Минеев</w:t>
            </w:r>
          </w:p>
        </w:tc>
        <w:tc>
          <w:tcPr>
            <w:tcW w:w="0" w:type="auto"/>
            <w:tcMar>
              <w:top w:w="75" w:type="dxa"/>
              <w:left w:w="75" w:type="dxa"/>
              <w:bottom w:w="75" w:type="dxa"/>
              <w:right w:w="75" w:type="dxa"/>
            </w:tcMar>
            <w:vAlign w:val="bottom"/>
          </w:tcPr>
          <w:p>
            <w:r>
              <w:rPr>
                <w:rFonts w:hAnsi="Times New Roman" w:cs="Times New Roman"/>
                <w:color w:val="000000"/>
                <w:sz w:val="24"/>
                <w:szCs w:val="24"/>
              </w:rPr>
              <w:t>Е.Н. Минеев</w:t>
            </w:r>
          </w:p>
        </w:tc>
        <w:tc>
          <w:tcPr>
            <w:tcW w:w="0" w:type="auto"/>
            <w:tcMar>
              <w:top w:w="75" w:type="dxa"/>
              <w:left w:w="75" w:type="dxa"/>
              <w:bottom w:w="75" w:type="dxa"/>
              <w:right w:w="75" w:type="dxa"/>
            </w:tcMar>
            <w:vAlign w:val="bottom"/>
          </w:tcPr>
          <w:p>
            <w:r>
              <w:rPr>
                <w:rFonts w:hAnsi="Times New Roman" w:cs="Times New Roman"/>
                <w:color w:val="000000"/>
                <w:sz w:val="24"/>
                <w:szCs w:val="24"/>
              </w:rPr>
              <w:t>Иванов</w:t>
            </w:r>
          </w:p>
        </w:tc>
        <w:tc>
          <w:tcPr>
            <w:tcW w:w="0" w:type="auto"/>
            <w:tcMar>
              <w:top w:w="75" w:type="dxa"/>
              <w:left w:w="75" w:type="dxa"/>
              <w:bottom w:w="75" w:type="dxa"/>
              <w:right w:w="75" w:type="dxa"/>
            </w:tcMar>
            <w:vAlign w:val="bottom"/>
          </w:tcPr>
          <w:p>
            <w:r>
              <w:rPr>
                <w:rFonts w:hAnsi="Times New Roman" w:cs="Times New Roman"/>
                <w:color w:val="000000"/>
                <w:sz w:val="24"/>
                <w:szCs w:val="24"/>
              </w:rPr>
              <w:t>И.И. Иванов</w:t>
            </w:r>
          </w:p>
        </w:tc>
      </w:tr>
      <w:tr>
        <w:trPr>
          <w:trHeight w:val="0"/>
        </w:trPr>
        <w:tc>
          <w:tcPr>
            <w:tcW w:w="0" w:type="auto"/>
            <w:gridSpan w:val="2"/>
            <w:tcMar>
              <w:top w:w="75" w:type="dxa"/>
              <w:left w:w="75" w:type="dxa"/>
              <w:bottom w:w="75" w:type="dxa"/>
              <w:right w:w="75" w:type="dxa"/>
            </w:tcMar>
            <w:vAlign w:val="top"/>
          </w:tcPr>
          <w:p>
            <w:r>
              <w:rPr>
                <w:rFonts w:hAnsi="Times New Roman" w:cs="Times New Roman"/>
                <w:color w:val="000000"/>
                <w:sz w:val="24"/>
                <w:szCs w:val="24"/>
              </w:rPr>
              <w:t>25.02.</w:t>
            </w:r>
            <w:r>
              <w:rPr>
                <w:rFonts w:hAnsi="Times New Roman" w:cs="Times New Roman"/>
                <w:color w:val="000000"/>
                <w:sz w:val="24"/>
                <w:szCs w:val="24"/>
              </w:rPr>
              <w:t>202</w:t>
            </w:r>
            <w:r>
              <w:rPr>
                <w:rFonts w:hAnsi="Times New Roman" w:cs="Times New Roman"/>
                <w:color w:val="000000"/>
                <w:sz w:val="24"/>
                <w:szCs w:val="24"/>
              </w:rPr>
              <w:t>2</w:t>
            </w:r>
            <w:r>
              <w:rPr>
                <w:rFonts w:hAnsi="Times New Roman" w:cs="Times New Roman"/>
                <w:color w:val="000000"/>
                <w:sz w:val="24"/>
                <w:szCs w:val="24"/>
              </w:rPr>
              <w:t xml:space="preserve"> г.</w:t>
            </w:r>
          </w:p>
        </w:tc>
        <w:tc>
          <w:tcPr>
            <w:tcW w:w="0" w:type="auto"/>
            <w:gridSpan w:val="2"/>
            <w:tcMar>
              <w:top w:w="75" w:type="dxa"/>
              <w:left w:w="75" w:type="dxa"/>
              <w:bottom w:w="75" w:type="dxa"/>
              <w:right w:w="75" w:type="dxa"/>
            </w:tcMar>
            <w:vAlign w:val="top"/>
          </w:tcPr>
          <w:p>
            <w:r>
              <w:rPr>
                <w:rFonts w:hAnsi="Times New Roman" w:cs="Times New Roman"/>
                <w:color w:val="000000"/>
                <w:sz w:val="24"/>
                <w:szCs w:val="24"/>
              </w:rPr>
              <w:t>01.03.</w:t>
            </w:r>
            <w:r>
              <w:rPr>
                <w:rFonts w:hAnsi="Times New Roman" w:cs="Times New Roman"/>
                <w:color w:val="000000"/>
                <w:sz w:val="24"/>
                <w:szCs w:val="24"/>
              </w:rPr>
              <w:t>202</w:t>
            </w:r>
            <w:r>
              <w:rPr>
                <w:rFonts w:hAnsi="Times New Roman" w:cs="Times New Roman"/>
                <w:color w:val="000000"/>
                <w:sz w:val="24"/>
                <w:szCs w:val="24"/>
              </w:rPr>
              <w:t>2</w:t>
            </w:r>
            <w:r>
              <w:rPr>
                <w:rFonts w:hAnsi="Times New Roman" w:cs="Times New Roman"/>
                <w:color w:val="000000"/>
                <w:sz w:val="24"/>
                <w:szCs w:val="24"/>
              </w:rPr>
              <w:t xml:space="preserve"> г.</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 о комитете (комиссии) по охране труда </w:t>
      </w:r>
      <w:r>
        <w:rPr>
          <w:rFonts w:hAnsi="Times New Roman" w:cs="Times New Roman"/>
          <w:color w:val="000000"/>
          <w:sz w:val="24"/>
          <w:szCs w:val="24"/>
        </w:rPr>
        <w:t>Муниципального бюджетного общеобразовательного учреждения «Центр образования № 3»</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Настоящее Положение о комитете (комиссии) по охране труда </w:t>
      </w:r>
      <w:r>
        <w:rPr>
          <w:rFonts w:hAnsi="Times New Roman" w:cs="Times New Roman"/>
          <w:color w:val="000000"/>
          <w:sz w:val="24"/>
          <w:szCs w:val="24"/>
        </w:rPr>
        <w:t>Муниципального бюджетного общеобразовательного учреждения «Центр образования № 3»</w:t>
      </w:r>
      <w:r>
        <w:rPr>
          <w:rFonts w:hAnsi="Times New Roman" w:cs="Times New Roman"/>
          <w:color w:val="000000"/>
          <w:sz w:val="24"/>
          <w:szCs w:val="24"/>
        </w:rPr>
        <w:t> </w:t>
      </w:r>
      <w:r>
        <w:rPr>
          <w:rFonts w:hAnsi="Times New Roman" w:cs="Times New Roman"/>
          <w:color w:val="000000"/>
          <w:sz w:val="24"/>
          <w:szCs w:val="24"/>
        </w:rPr>
        <w:t> (далее – организация) разработано в соответствии с положениями </w:t>
      </w:r>
      <w:r>
        <w:rPr>
          <w:rFonts w:hAnsi="Times New Roman" w:cs="Times New Roman"/>
          <w:color w:val="000000"/>
          <w:sz w:val="24"/>
          <w:szCs w:val="24"/>
        </w:rPr>
        <w:t>статьи 224</w:t>
      </w:r>
      <w:r>
        <w:rPr>
          <w:rFonts w:hAnsi="Times New Roman" w:cs="Times New Roman"/>
          <w:color w:val="000000"/>
          <w:sz w:val="24"/>
          <w:szCs w:val="24"/>
        </w:rPr>
        <w:t xml:space="preserve"> Трудового кодекса РФ, </w:t>
      </w:r>
      <w:r>
        <w:rPr>
          <w:rFonts w:hAnsi="Times New Roman" w:cs="Times New Roman"/>
          <w:color w:val="000000"/>
          <w:sz w:val="24"/>
          <w:szCs w:val="24"/>
        </w:rPr>
        <w:t>Приказом Минтруда России от 22.09.2021 № 650н</w:t>
      </w:r>
      <w:r>
        <w:rPr>
          <w:rFonts w:hAnsi="Times New Roman" w:cs="Times New Roman"/>
          <w:color w:val="000000"/>
          <w:sz w:val="24"/>
          <w:szCs w:val="24"/>
        </w:rPr>
        <w:t xml:space="preserve"> и уставом организации и является внутренним документом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1.2. Комитет (комиссия) по охране труда (далее – 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pPr>
        <w:spacing w:line="240" w:lineRule="auto"/>
        <w:rPr>
          <w:rFonts w:hAnsi="Times New Roman" w:cs="Times New Roman"/>
          <w:color w:val="000000"/>
          <w:sz w:val="24"/>
          <w:szCs w:val="24"/>
        </w:rPr>
      </w:pPr>
      <w:r>
        <w:rPr>
          <w:rFonts w:hAnsi="Times New Roman" w:cs="Times New Roman"/>
          <w:color w:val="000000"/>
          <w:sz w:val="24"/>
          <w:szCs w:val="24"/>
        </w:rPr>
        <w:t>1.3.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1.4. Обеспечение деятельности Комитета, его членов (освобождение от основной работы на время исполнения обязанностей, прохождения обучения и т. п.) устанавливается коллективным договором, локальным нормативным актом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1.5. Комитет осуществляет свою деятельность в целях организации сотрудничества и регулирования отношений работодателя и работников в области охраны труда 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1.6.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1.7. Члены Комитета выполняют свои обязанности на общественных началах. Комитет осуществляет свою деятельность в соответствии с планом работы, который принимается на заседании Комитета и утверждается председателем. Заседания Комитета проводятся по мере необходимости, но не реже </w:t>
      </w:r>
      <w:r>
        <w:rPr>
          <w:rFonts w:hAnsi="Times New Roman" w:cs="Times New Roman"/>
          <w:color w:val="000000"/>
          <w:sz w:val="24"/>
          <w:szCs w:val="24"/>
        </w:rPr>
        <w:t xml:space="preserve">1 </w:t>
      </w:r>
      <w:r>
        <w:rPr>
          <w:rFonts w:hAnsi="Times New Roman" w:cs="Times New Roman"/>
          <w:color w:val="000000"/>
          <w:sz w:val="24"/>
          <w:szCs w:val="24"/>
        </w:rPr>
        <w:t xml:space="preserve"> раза в </w:t>
      </w:r>
      <w:r>
        <w:rPr>
          <w:rFonts w:hAnsi="Times New Roman" w:cs="Times New Roman"/>
          <w:color w:val="000000"/>
          <w:sz w:val="24"/>
          <w:szCs w:val="24"/>
        </w:rPr>
        <w:t>месяц.</w:t>
      </w:r>
    </w:p>
    <w:p>
      <w:pPr>
        <w:spacing w:line="240" w:lineRule="auto"/>
        <w:rPr>
          <w:rFonts w:hAnsi="Times New Roman" w:cs="Times New Roman"/>
          <w:color w:val="000000"/>
          <w:sz w:val="24"/>
          <w:szCs w:val="24"/>
        </w:rPr>
      </w:pPr>
      <w:r>
        <w:rPr>
          <w:rFonts w:hAnsi="Times New Roman" w:cs="Times New Roman"/>
          <w:color w:val="000000"/>
          <w:sz w:val="24"/>
          <w:szCs w:val="24"/>
        </w:rPr>
        <w:t>1.8. Члены Комитета,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1.9. 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1.10. Члены Комитета проходят обучение по охране труда и проверку знания требований охраны труда в порядке в обучающей организации за счет средств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1.11. Состав Комитета.</w:t>
      </w:r>
    </w:p>
    <w:p>
      <w:pPr>
        <w:spacing w:line="240" w:lineRule="auto"/>
        <w:rPr>
          <w:rFonts w:hAnsi="Times New Roman" w:cs="Times New Roman"/>
          <w:color w:val="000000"/>
          <w:sz w:val="24"/>
          <w:szCs w:val="24"/>
        </w:rPr>
      </w:pPr>
      <w:r>
        <w:rPr>
          <w:rFonts w:hAnsi="Times New Roman" w:cs="Times New Roman"/>
          <w:color w:val="000000"/>
          <w:sz w:val="24"/>
          <w:szCs w:val="24"/>
        </w:rPr>
        <w:t>1.11.1. Численность членов Комитета определяется в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1.11.2. Выдвижение в Комитет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Комитета утверждается приказом (распоряжением)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1.11.3. Комитет избирает из своего состава председателя, заместителей от каждой стороны социального партнерства и секретаря. Председателем Комитета является </w:t>
      </w:r>
      <w:r>
        <w:rPr>
          <w:rFonts w:hAnsi="Times New Roman" w:cs="Times New Roman"/>
          <w:color w:val="000000"/>
          <w:sz w:val="24"/>
          <w:szCs w:val="24"/>
        </w:rPr>
        <w:t>руководитель организации-работодателя</w:t>
      </w:r>
      <w:r>
        <w:rPr>
          <w:rFonts w:hAnsi="Times New Roman" w:cs="Times New Roman"/>
          <w:color w:val="000000"/>
          <w:sz w:val="24"/>
          <w:szCs w:val="24"/>
        </w:rPr>
        <w:t>,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1.11.4.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w:t>
      </w:r>
    </w:p>
    <w:p>
      <w:pPr>
        <w:spacing w:line="240" w:lineRule="auto"/>
        <w:rPr>
          <w:rFonts w:hAnsi="Times New Roman" w:cs="Times New Roman"/>
          <w:color w:val="000000"/>
          <w:sz w:val="24"/>
          <w:szCs w:val="24"/>
        </w:rPr>
      </w:pPr>
      <w:r>
        <w:rPr>
          <w:rFonts w:hAnsi="Times New Roman" w:cs="Times New Roman"/>
          <w:color w:val="000000"/>
          <w:sz w:val="24"/>
          <w:szCs w:val="24"/>
        </w:rPr>
        <w:t>1.11.5. Работодатель вправе своим распоряжением отзывать своих представителей из состава Комитета и назначать вместо них новых представителей.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Задачи Комитета </w:t>
      </w:r>
    </w:p>
    <w:p>
      <w:pPr>
        <w:spacing w:line="240" w:lineRule="auto"/>
        <w:rPr>
          <w:rFonts w:hAnsi="Times New Roman" w:cs="Times New Roman"/>
          <w:color w:val="000000"/>
          <w:sz w:val="24"/>
          <w:szCs w:val="24"/>
        </w:rPr>
      </w:pPr>
      <w:r>
        <w:rPr>
          <w:rFonts w:hAnsi="Times New Roman" w:cs="Times New Roman"/>
          <w:color w:val="000000"/>
          <w:sz w:val="24"/>
          <w:szCs w:val="24"/>
        </w:rPr>
        <w:t>2.1. Задачами Комитета по охране труда являются: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рассмотрение результатов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Функции Комитета</w:t>
      </w:r>
    </w:p>
    <w:p>
      <w:pPr>
        <w:spacing w:line="240" w:lineRule="auto"/>
        <w:rPr>
          <w:rFonts w:hAnsi="Times New Roman" w:cs="Times New Roman"/>
          <w:color w:val="000000"/>
          <w:sz w:val="24"/>
          <w:szCs w:val="24"/>
        </w:rPr>
      </w:pPr>
      <w:r>
        <w:rPr>
          <w:rFonts w:hAnsi="Times New Roman" w:cs="Times New Roman"/>
          <w:color w:val="000000"/>
          <w:sz w:val="24"/>
          <w:szCs w:val="24"/>
        </w:rPr>
        <w:t>3.1. Функциями Комитета по охране труда являются: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содействие работодателю в мероприятиях по организации проведения предварительных (при поступлении на работу) и периодических (в течение трудовой деятельности) медицинских осмотров и учету результатов медицинских осмотров при трудоустройстве;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содействие своевременной бесплатной выдаче работникам, занятым на работах с вредными условиями труда, молока и других равноценных пищевых продуктов, лечебно-профилактического питания;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условиями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содействие работодателю в рассмотрении обстоятельств, выявление причин, приводящих к микроповреждениям (микротравмам).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Права Комитета</w:t>
      </w:r>
    </w:p>
    <w:p>
      <w:pPr>
        <w:spacing w:line="240" w:lineRule="auto"/>
        <w:rPr>
          <w:rFonts w:hAnsi="Times New Roman" w:cs="Times New Roman"/>
          <w:color w:val="000000"/>
          <w:sz w:val="24"/>
          <w:szCs w:val="24"/>
        </w:rPr>
      </w:pPr>
      <w:r>
        <w:rPr>
          <w:rFonts w:hAnsi="Times New Roman" w:cs="Times New Roman"/>
          <w:color w:val="000000"/>
          <w:sz w:val="24"/>
          <w:szCs w:val="24"/>
        </w:rPr>
        <w:t>4.1. Комитет по охране труда вправе: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вносить работодателю предложения о стимулировании работников за активное участие в мероприятиях по улучшению условий и охраны труда;</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условиях труда, предусмотренных законодательством гарантий и компенсаций.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5.1. Настоящее Положение о Комитете организации утверждается приказом руководителя организации с учетом мнения выборного профсоюзного органа и (или) иного уполномоченного работниками организации представительного органа и вступает в силу с момента его утверждения.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5.2. Решение о внесении изменений или дополнений в Положение о Комитете организации принимается </w:t>
      </w:r>
      <w:r>
        <w:rPr>
          <w:rFonts w:hAnsi="Times New Roman" w:cs="Times New Roman"/>
          <w:color w:val="000000"/>
          <w:sz w:val="24"/>
          <w:szCs w:val="24"/>
        </w:rPr>
        <w:t xml:space="preserve">приказом работодателя. </w:t>
      </w:r>
      <w:r>
        <w:rPr>
          <w:rFonts w:hAnsi="Times New Roman" w:cs="Times New Roman"/>
          <w:color w:val="000000"/>
          <w:sz w:val="24"/>
          <w:szCs w:val="24"/>
        </w:rPr>
        <w:t>Проект изменений разрабатывают</w:t>
      </w:r>
      <w:r>
        <w:rPr>
          <w:rFonts w:hAnsi="Times New Roman" w:cs="Times New Roman"/>
          <w:color w:val="000000"/>
          <w:sz w:val="24"/>
          <w:szCs w:val="24"/>
        </w:rPr>
        <w:t xml:space="preserve"> инициаторы решения о внесении изменений или дополнений в Положение о Комитете в течение недели со дня принятия решения.</w:t>
      </w:r>
    </w:p>
    <w:p>
      <w:pPr>
        <w:spacing w:line="240" w:lineRule="auto"/>
        <w:rPr>
          <w:rFonts w:hAnsi="Times New Roman" w:cs="Times New Roman"/>
          <w:color w:val="000000"/>
          <w:sz w:val="24"/>
          <w:szCs w:val="24"/>
        </w:rPr>
      </w:pPr>
      <w:r>
        <w:rPr>
          <w:rFonts w:hAnsi="Times New Roman" w:cs="Times New Roman"/>
          <w:color w:val="000000"/>
          <w:sz w:val="24"/>
          <w:szCs w:val="24"/>
        </w:rPr>
        <w:t>5.3. Настоящее Положение действует до принятия нового Положения о Комитете или отмены настоящего Положения.</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cd9cb04444f541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